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580"/>
        <w:spacing w:after="0"/>
        <w:rPr>
          <w:sz w:val="20"/>
          <w:szCs w:val="20"/>
          <w:color w:val="auto"/>
        </w:rPr>
      </w:pPr>
      <w:r>
        <w:rPr>
          <w:rFonts w:ascii="Arial" w:cs="Arial" w:eastAsia="Arial" w:hAnsi="Arial"/>
          <w:sz w:val="32"/>
          <w:szCs w:val="32"/>
          <w:b w:val="1"/>
          <w:bCs w:val="1"/>
          <w:color w:val="auto"/>
        </w:rPr>
        <w:t>SECURITIES AND EXCHANGE COMMISSION</w:t>
      </w:r>
    </w:p>
    <w:tbl>
      <w:tblPr>
        <w:tblLayout w:type="fixed"/>
        <w:tblInd w:w="1400" w:type="dxa"/>
        <w:tblCellMar>
          <w:top w:w="0" w:type="dxa"/>
          <w:left w:w="0" w:type="dxa"/>
          <w:bottom w:w="0" w:type="dxa"/>
          <w:right w:w="0" w:type="dxa"/>
        </w:tblCellMar>
      </w:tblPr>
      <w:tr>
        <w:trPr>
          <w:trHeight w:val="280"/>
        </w:trPr>
        <w:tc>
          <w:tcPr>
            <w:tcW w:w="2580" w:type="dxa"/>
            <w:vAlign w:val="bottom"/>
          </w:tcPr>
          <w:p>
            <w:pPr>
              <w:spacing w:after="0"/>
              <w:rPr>
                <w:sz w:val="24"/>
                <w:szCs w:val="24"/>
                <w:color w:val="auto"/>
              </w:rPr>
            </w:pPr>
          </w:p>
        </w:tc>
        <w:tc>
          <w:tcPr>
            <w:tcW w:w="3540" w:type="dxa"/>
            <w:vAlign w:val="bottom"/>
            <w:gridSpan w:val="2"/>
          </w:tcPr>
          <w:p>
            <w:pPr>
              <w:ind w:left="20"/>
              <w:spacing w:after="0"/>
              <w:rPr>
                <w:sz w:val="20"/>
                <w:szCs w:val="20"/>
                <w:color w:val="auto"/>
              </w:rPr>
            </w:pPr>
            <w:r>
              <w:rPr>
                <w:rFonts w:ascii="Arial" w:cs="Arial" w:eastAsia="Arial" w:hAnsi="Arial"/>
                <w:sz w:val="22"/>
                <w:szCs w:val="22"/>
                <w:b w:val="1"/>
                <w:bCs w:val="1"/>
                <w:color w:val="auto"/>
              </w:rPr>
              <w:t>Washington, D.C. 20549</w:t>
            </w:r>
          </w:p>
        </w:tc>
      </w:tr>
      <w:tr>
        <w:trPr>
          <w:trHeight w:val="263"/>
        </w:trPr>
        <w:tc>
          <w:tcPr>
            <w:tcW w:w="2580" w:type="dxa"/>
            <w:vAlign w:val="bottom"/>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1300" w:type="dxa"/>
            <w:vAlign w:val="bottom"/>
          </w:tcPr>
          <w:p>
            <w:pPr>
              <w:spacing w:after="0"/>
              <w:rPr>
                <w:sz w:val="22"/>
                <w:szCs w:val="22"/>
                <w:color w:val="auto"/>
              </w:rPr>
            </w:pPr>
          </w:p>
        </w:tc>
      </w:tr>
      <w:tr>
        <w:trPr>
          <w:trHeight w:val="589"/>
        </w:trPr>
        <w:tc>
          <w:tcPr>
            <w:tcW w:w="2580" w:type="dxa"/>
            <w:vAlign w:val="bottom"/>
          </w:tcPr>
          <w:p>
            <w:pPr>
              <w:spacing w:after="0"/>
              <w:rPr>
                <w:sz w:val="24"/>
                <w:szCs w:val="24"/>
                <w:color w:val="auto"/>
              </w:rPr>
            </w:pPr>
          </w:p>
        </w:tc>
        <w:tc>
          <w:tcPr>
            <w:tcW w:w="3540" w:type="dxa"/>
            <w:vAlign w:val="bottom"/>
            <w:gridSpan w:val="2"/>
          </w:tcPr>
          <w:p>
            <w:pPr>
              <w:jc w:val="center"/>
              <w:ind w:right="1300"/>
              <w:spacing w:after="0"/>
              <w:rPr>
                <w:sz w:val="20"/>
                <w:szCs w:val="20"/>
                <w:color w:val="auto"/>
              </w:rPr>
            </w:pPr>
            <w:r>
              <w:rPr>
                <w:rFonts w:ascii="Arial" w:cs="Arial" w:eastAsia="Arial" w:hAnsi="Arial"/>
                <w:sz w:val="32"/>
                <w:szCs w:val="32"/>
                <w:b w:val="1"/>
                <w:bCs w:val="1"/>
                <w:color w:val="auto"/>
                <w:w w:val="97"/>
              </w:rPr>
              <w:t>FORM 12b-25</w:t>
            </w:r>
          </w:p>
        </w:tc>
      </w:tr>
      <w:tr>
        <w:trPr>
          <w:trHeight w:val="282"/>
        </w:trPr>
        <w:tc>
          <w:tcPr>
            <w:tcW w:w="258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409"/>
        </w:trPr>
        <w:tc>
          <w:tcPr>
            <w:tcW w:w="6120" w:type="dxa"/>
            <w:vAlign w:val="bottom"/>
            <w:gridSpan w:val="3"/>
          </w:tcPr>
          <w:p>
            <w:pPr>
              <w:jc w:val="center"/>
              <w:ind w:left="1204"/>
              <w:spacing w:after="0"/>
              <w:rPr>
                <w:sz w:val="20"/>
                <w:szCs w:val="20"/>
                <w:color w:val="auto"/>
              </w:rPr>
            </w:pPr>
            <w:r>
              <w:rPr>
                <w:rFonts w:ascii="Arial" w:cs="Arial" w:eastAsia="Arial" w:hAnsi="Arial"/>
                <w:sz w:val="22"/>
                <w:szCs w:val="22"/>
                <w:b w:val="1"/>
                <w:bCs w:val="1"/>
                <w:color w:val="auto"/>
              </w:rPr>
              <w:t>NOTIFICATION OF LATE FILING</w:t>
            </w:r>
          </w:p>
        </w:tc>
      </w:tr>
      <w:tr>
        <w:trPr>
          <w:trHeight w:val="431"/>
        </w:trPr>
        <w:tc>
          <w:tcPr>
            <w:tcW w:w="2580" w:type="dxa"/>
            <w:vAlign w:val="bottom"/>
          </w:tcPr>
          <w:p>
            <w:pPr>
              <w:jc w:val="right"/>
              <w:ind w:right="64"/>
              <w:spacing w:after="0" w:line="207" w:lineRule="exact"/>
              <w:rPr>
                <w:sz w:val="20"/>
                <w:szCs w:val="20"/>
                <w:color w:val="auto"/>
              </w:rPr>
            </w:pPr>
            <w:r>
              <w:rPr>
                <w:rFonts w:ascii="Arial" w:cs="Arial" w:eastAsia="Arial" w:hAnsi="Arial"/>
                <w:sz w:val="18"/>
                <w:szCs w:val="18"/>
                <w:color w:val="auto"/>
                <w:w w:val="97"/>
              </w:rPr>
              <w:t>(Check One)</w:t>
            </w:r>
            <w:r>
              <w:rPr>
                <w:rFonts w:ascii="MS PGothic" w:cs="MS PGothic" w:eastAsia="MS PGothic" w:hAnsi="MS PGothic"/>
                <w:sz w:val="18"/>
                <w:szCs w:val="18"/>
                <w:color w:val="auto"/>
                <w:w w:val="97"/>
              </w:rPr>
              <w:t xml:space="preserve">☐ </w:t>
            </w:r>
            <w:r>
              <w:rPr>
                <w:rFonts w:ascii="Arial" w:cs="Arial" w:eastAsia="Arial" w:hAnsi="Arial"/>
                <w:sz w:val="18"/>
                <w:szCs w:val="18"/>
                <w:color w:val="auto"/>
                <w:w w:val="97"/>
              </w:rPr>
              <w:t>Form 10-K</w:t>
            </w:r>
          </w:p>
        </w:tc>
        <w:tc>
          <w:tcPr>
            <w:tcW w:w="3540" w:type="dxa"/>
            <w:vAlign w:val="bottom"/>
            <w:gridSpan w:val="2"/>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11-K  </w:t>
            </w:r>
            <w:r>
              <w:rPr>
                <w:rFonts w:ascii="MS PGothic" w:cs="MS PGothic" w:eastAsia="MS PGothic" w:hAnsi="MS PGothic"/>
                <w:sz w:val="18"/>
                <w:szCs w:val="18"/>
                <w:color w:val="auto"/>
              </w:rPr>
              <w:t>☒</w:t>
            </w:r>
            <w:r>
              <w:rPr>
                <w:rFonts w:ascii="Arial" w:cs="Arial" w:eastAsia="Arial" w:hAnsi="Arial"/>
                <w:sz w:val="18"/>
                <w:szCs w:val="18"/>
                <w:color w:val="auto"/>
              </w:rPr>
              <w:t xml:space="preserve"> Form 10-Q</w:t>
            </w:r>
          </w:p>
        </w:tc>
      </w:tr>
      <w:tr>
        <w:trPr>
          <w:trHeight w:val="303"/>
        </w:trPr>
        <w:tc>
          <w:tcPr>
            <w:tcW w:w="2580" w:type="dxa"/>
            <w:vAlign w:val="bottom"/>
          </w:tcPr>
          <w:p>
            <w:pPr>
              <w:jc w:val="right"/>
              <w:ind w:right="64"/>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10-D</w:t>
            </w:r>
          </w:p>
        </w:tc>
        <w:tc>
          <w:tcPr>
            <w:tcW w:w="3540" w:type="dxa"/>
            <w:vAlign w:val="bottom"/>
            <w:gridSpan w:val="2"/>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N-SAR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N-CSR</w:t>
            </w:r>
          </w:p>
        </w:tc>
      </w:tr>
    </w:tbl>
    <w:p>
      <w:pPr>
        <w:spacing w:after="0" w:line="133"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For Period Ended: June 30, 2023</w:t>
      </w:r>
    </w:p>
    <w:p>
      <w:pPr>
        <w:spacing w:after="0" w:line="185" w:lineRule="exact"/>
        <w:rPr>
          <w:sz w:val="24"/>
          <w:szCs w:val="24"/>
          <w:color w:val="auto"/>
        </w:rPr>
      </w:pPr>
    </w:p>
    <w:p>
      <w:pPr>
        <w:ind w:left="3040" w:hanging="251"/>
        <w:spacing w:after="0"/>
        <w:tabs>
          <w:tab w:leader="none" w:pos="30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51" w:lineRule="exact"/>
        <w:rPr>
          <w:rFonts w:ascii="MS PGothic" w:cs="MS PGothic" w:eastAsia="MS PGothic" w:hAnsi="MS PGothic"/>
          <w:sz w:val="18"/>
          <w:szCs w:val="18"/>
          <w:color w:val="auto"/>
        </w:rPr>
      </w:pPr>
    </w:p>
    <w:p>
      <w:pPr>
        <w:ind w:left="3040" w:hanging="251"/>
        <w:spacing w:after="0"/>
        <w:tabs>
          <w:tab w:leader="none" w:pos="30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36" w:lineRule="exact"/>
        <w:rPr>
          <w:rFonts w:ascii="MS PGothic" w:cs="MS PGothic" w:eastAsia="MS PGothic" w:hAnsi="MS PGothic"/>
          <w:sz w:val="18"/>
          <w:szCs w:val="18"/>
          <w:color w:val="auto"/>
        </w:rPr>
      </w:pPr>
    </w:p>
    <w:p>
      <w:pPr>
        <w:ind w:left="3040" w:hanging="251"/>
        <w:spacing w:after="0"/>
        <w:tabs>
          <w:tab w:leader="none" w:pos="30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36" w:lineRule="exact"/>
        <w:rPr>
          <w:rFonts w:ascii="MS PGothic" w:cs="MS PGothic" w:eastAsia="MS PGothic" w:hAnsi="MS PGothic"/>
          <w:sz w:val="18"/>
          <w:szCs w:val="18"/>
          <w:color w:val="auto"/>
        </w:rPr>
      </w:pPr>
    </w:p>
    <w:p>
      <w:pPr>
        <w:ind w:left="3040" w:hanging="251"/>
        <w:spacing w:after="0"/>
        <w:tabs>
          <w:tab w:leader="none" w:pos="30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36" w:lineRule="exact"/>
        <w:rPr>
          <w:rFonts w:ascii="MS PGothic" w:cs="MS PGothic" w:eastAsia="MS PGothic" w:hAnsi="MS PGothic"/>
          <w:sz w:val="18"/>
          <w:szCs w:val="18"/>
          <w:color w:val="auto"/>
        </w:rPr>
      </w:pPr>
    </w:p>
    <w:p>
      <w:pPr>
        <w:ind w:left="3040" w:hanging="251"/>
        <w:spacing w:after="0"/>
        <w:tabs>
          <w:tab w:leader="none" w:pos="30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N-SAR</w:t>
      </w:r>
    </w:p>
    <w:p>
      <w:pPr>
        <w:spacing w:after="0" w:line="169"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wp:posOffset>
            </wp:positionH>
            <wp:positionV relativeFrom="paragraph">
              <wp:posOffset>175895</wp:posOffset>
            </wp:positionV>
            <wp:extent cx="7136130" cy="3213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321310"/>
                    </a:xfrm>
                    <a:prstGeom prst="rect">
                      <a:avLst/>
                    </a:prstGeom>
                    <a:noFill/>
                  </pic:spPr>
                </pic:pic>
              </a:graphicData>
            </a:graphic>
          </wp:anchor>
        </w:drawing>
      </w:r>
    </w:p>
    <w:p>
      <w:pPr>
        <w:spacing w:after="0" w:line="273" w:lineRule="exact"/>
        <w:rPr>
          <w:sz w:val="24"/>
          <w:szCs w:val="24"/>
          <w:color w:val="auto"/>
        </w:rPr>
      </w:pPr>
    </w:p>
    <w:p>
      <w:pPr>
        <w:jc w:val="center"/>
        <w:ind w:right="-580"/>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3" w:lineRule="exact"/>
        <w:rPr>
          <w:sz w:val="24"/>
          <w:szCs w:val="24"/>
          <w:color w:val="auto"/>
        </w:rPr>
      </w:pPr>
    </w:p>
    <w:p>
      <w:pPr>
        <w:jc w:val="center"/>
        <w:ind w:right="-580"/>
        <w:spacing w:after="0"/>
        <w:rPr>
          <w:sz w:val="20"/>
          <w:szCs w:val="20"/>
          <w:color w:val="auto"/>
        </w:rPr>
      </w:pPr>
      <w:r>
        <w:rPr>
          <w:rFonts w:ascii="Arial" w:cs="Arial" w:eastAsia="Arial" w:hAnsi="Arial"/>
          <w:sz w:val="16"/>
          <w:szCs w:val="16"/>
          <w:b w:val="1"/>
          <w:bCs w:val="1"/>
          <w:color w:val="auto"/>
        </w:rPr>
        <w:t>Nothing in this form shall be construed to imply that the Commission has verified any information contained herein.</w:t>
      </w: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-324485</wp:posOffset>
            </wp:positionH>
            <wp:positionV relativeFrom="paragraph">
              <wp:posOffset>486410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PART I — REGISTRANT INFORMATION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left="3360"/>
        <w:spacing w:after="0"/>
        <w:rPr>
          <w:sz w:val="20"/>
          <w:szCs w:val="20"/>
          <w:color w:val="auto"/>
        </w:rPr>
      </w:pPr>
      <w:r>
        <w:rPr>
          <w:rFonts w:ascii="Arial" w:cs="Arial" w:eastAsia="Arial" w:hAnsi="Arial"/>
          <w:sz w:val="41"/>
          <w:szCs w:val="41"/>
          <w:b w:val="1"/>
          <w:bCs w:val="1"/>
          <w:color w:val="auto"/>
        </w:rPr>
        <w:t>Yellow Corporation</w:t>
      </w:r>
    </w:p>
    <w:p>
      <w:pPr>
        <w:spacing w:after="0" w:line="200" w:lineRule="exact"/>
        <w:rPr>
          <w:sz w:val="24"/>
          <w:szCs w:val="24"/>
          <w:color w:val="auto"/>
        </w:rPr>
      </w:pPr>
    </w:p>
    <w:p>
      <w:pPr>
        <w:spacing w:after="0" w:line="267"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ind w:left="4280"/>
        <w:spacing w:after="0"/>
        <w:rPr>
          <w:sz w:val="20"/>
          <w:szCs w:val="20"/>
          <w:color w:val="auto"/>
        </w:rPr>
      </w:pPr>
      <w:r>
        <w:rPr>
          <w:rFonts w:ascii="Arial" w:cs="Arial" w:eastAsia="Arial" w:hAnsi="Arial"/>
          <w:sz w:val="13"/>
          <w:szCs w:val="13"/>
          <w:b w:val="1"/>
          <w:bCs w:val="1"/>
          <w:color w:val="auto"/>
        </w:rPr>
        <w:t>(Former Name if Applicable)</w:t>
      </w:r>
    </w:p>
    <w:p>
      <w:pPr>
        <w:spacing w:after="0" w:line="200" w:lineRule="exact"/>
        <w:rPr>
          <w:sz w:val="24"/>
          <w:szCs w:val="24"/>
          <w:color w:val="auto"/>
        </w:rPr>
      </w:pPr>
    </w:p>
    <w:p>
      <w:pPr>
        <w:spacing w:after="0" w:line="213"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501 Commerce Street, Suite 1120</w:t>
      </w:r>
    </w:p>
    <w:p>
      <w:pPr>
        <w:spacing w:after="0" w:line="27" w:lineRule="exact"/>
        <w:rPr>
          <w:sz w:val="24"/>
          <w:szCs w:val="24"/>
          <w:color w:val="auto"/>
        </w:rPr>
      </w:pPr>
    </w:p>
    <w:p>
      <w:pPr>
        <w:ind w:left="3380"/>
        <w:spacing w:after="0"/>
        <w:rPr>
          <w:sz w:val="20"/>
          <w:szCs w:val="20"/>
          <w:color w:val="auto"/>
        </w:rPr>
      </w:pPr>
      <w:r>
        <w:rPr>
          <w:rFonts w:ascii="Arial" w:cs="Arial" w:eastAsia="Arial" w:hAnsi="Arial"/>
          <w:sz w:val="13"/>
          <w:szCs w:val="13"/>
          <w:b w:val="1"/>
          <w:bCs w:val="1"/>
          <w:color w:val="auto"/>
        </w:rPr>
        <w:t>(Address of Principal Executive Office (</w:t>
      </w:r>
      <w:r>
        <w:rPr>
          <w:rFonts w:ascii="Arial" w:cs="Arial" w:eastAsia="Arial" w:hAnsi="Arial"/>
          <w:sz w:val="13"/>
          <w:szCs w:val="13"/>
          <w:b w:val="1"/>
          <w:bCs w:val="1"/>
          <w:i w:val="1"/>
          <w:iCs w:val="1"/>
          <w:color w:val="auto"/>
        </w:rPr>
        <w:t>Street and Number</w:t>
      </w:r>
      <w:r>
        <w:rPr>
          <w:rFonts w:ascii="Arial" w:cs="Arial" w:eastAsia="Arial" w:hAnsi="Arial"/>
          <w:sz w:val="13"/>
          <w:szCs w:val="13"/>
          <w:b w:val="1"/>
          <w:bCs w:val="1"/>
          <w:color w:val="auto"/>
        </w:rPr>
        <w:t>))</w:t>
      </w:r>
    </w:p>
    <w:p>
      <w:pPr>
        <w:spacing w:after="0" w:line="197"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Nashville, Tennessee, 37203</w:t>
      </w:r>
    </w:p>
    <w:p>
      <w:pPr>
        <w:spacing w:after="0" w:line="27" w:lineRule="exact"/>
        <w:rPr>
          <w:sz w:val="24"/>
          <w:szCs w:val="24"/>
          <w:color w:val="auto"/>
        </w:rPr>
      </w:pPr>
    </w:p>
    <w:p>
      <w:pPr>
        <w:ind w:left="4340"/>
        <w:spacing w:after="0"/>
        <w:rPr>
          <w:sz w:val="20"/>
          <w:szCs w:val="20"/>
          <w:color w:val="auto"/>
        </w:rPr>
      </w:pPr>
      <w:r>
        <w:rPr>
          <w:rFonts w:ascii="Arial" w:cs="Arial" w:eastAsia="Arial" w:hAnsi="Arial"/>
          <w:sz w:val="13"/>
          <w:szCs w:val="13"/>
          <w:b w:val="1"/>
          <w:bCs w:val="1"/>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-337185</wp:posOffset>
            </wp:positionH>
            <wp:positionV relativeFrom="paragraph">
              <wp:posOffset>55245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19"/>
          </w:cols>
          <w:pgMar w:left="840" w:top="1124"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t>PART II — RULES 12b-25(b) AND (c)</w:t>
      </w:r>
    </w:p>
    <w:p>
      <w:pPr>
        <w:spacing w:after="0" w:line="175" w:lineRule="exact"/>
        <w:rPr>
          <w:sz w:val="20"/>
          <w:szCs w:val="20"/>
          <w:color w:val="auto"/>
        </w:rPr>
      </w:pPr>
    </w:p>
    <w:p>
      <w:pPr>
        <w:ind w:right="680" w:firstLine="509"/>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97" w:lineRule="exact"/>
        <w:rPr>
          <w:sz w:val="20"/>
          <w:szCs w:val="20"/>
          <w:color w:val="auto"/>
        </w:rPr>
      </w:pPr>
    </w:p>
    <w:p>
      <w:pPr>
        <w:ind w:left="1500" w:hanging="744"/>
        <w:spacing w:after="0"/>
        <w:tabs>
          <w:tab w:leader="none" w:pos="150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reason described in reasonable detail in Part III of this form could not be eliminated without unreasonable effort or expense;</w:t>
      </w:r>
    </w:p>
    <w:p>
      <w:pPr>
        <w:spacing w:after="0" w:line="209" w:lineRule="exact"/>
        <w:rPr>
          <w:rFonts w:ascii="Arial" w:cs="Arial" w:eastAsia="Arial" w:hAnsi="Arial"/>
          <w:sz w:val="17"/>
          <w:szCs w:val="17"/>
          <w:color w:val="auto"/>
        </w:rPr>
      </w:pPr>
    </w:p>
    <w:p>
      <w:pPr>
        <w:ind w:left="1500" w:hanging="744"/>
        <w:spacing w:after="0"/>
        <w:tabs>
          <w:tab w:leader="none" w:pos="150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N-SAR or Form N-CSR,</w:t>
      </w:r>
    </w:p>
    <w:p>
      <w:pPr>
        <w:spacing w:after="0" w:line="46" w:lineRule="exact"/>
        <w:rPr>
          <w:rFonts w:ascii="Arial" w:cs="Arial" w:eastAsia="Arial" w:hAnsi="Arial"/>
          <w:sz w:val="16"/>
          <w:szCs w:val="16"/>
          <w:color w:val="auto"/>
        </w:rPr>
      </w:pPr>
    </w:p>
    <w:p>
      <w:pPr>
        <w:ind w:left="1500" w:right="40" w:hanging="1385"/>
        <w:spacing w:after="0" w:line="200" w:lineRule="auto"/>
        <w:tabs>
          <w:tab w:leader="none" w:pos="150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8"/>
          <w:szCs w:val="18"/>
          <w:color w:val="auto"/>
        </w:rPr>
        <w:t>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77" w:lineRule="exact"/>
        <w:rPr>
          <w:rFonts w:ascii="MS PGothic" w:cs="MS PGothic" w:eastAsia="MS PGothic" w:hAnsi="MS PGothic"/>
          <w:sz w:val="36"/>
          <w:szCs w:val="36"/>
          <w:color w:val="auto"/>
          <w:vertAlign w:val="subscript"/>
        </w:rPr>
      </w:pPr>
    </w:p>
    <w:p>
      <w:pPr>
        <w:ind w:left="1500" w:hanging="744"/>
        <w:spacing w:after="0"/>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-1056005</wp:posOffset>
            </wp:positionV>
            <wp:extent cx="8255" cy="1080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10801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State below in reasonable detail why Forms 10-K, 20-F, 11-K, 10-Q, 10-D, N-SAR, N-CSR, or the transition report or portion thereof, could not be filed within the prescribed time period.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Yellow Corporation. (the “Company”) will not, without unreasonable effort and expense, be able to file its Quarterly Report on Form 10-Q for the quarterly period ended June 30, 2023 (the “Form 10-Q”) within the prescribed time period, as the Company requires additional time to compile the necessary disclosure and financial information to complete the Form 10-Q filing.</w:t>
      </w: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previously reported in its Current Reports on Form 8-K filed on August 7, 2023, following a substantial workforce reduction impacting all areas of the organization, the Company and its domestic subsidiaries filed voluntary petitions (the “Chapter 11 Cases”) in the United States Bankruptcy Court for the district of Delaware seeking relief under Chapter 11 of Title 11 of the United States Bankruptcy Code. As a result of the bankruptcy filing, substantial doubt about our ability to continue as going concern exists. Due to the considerable time and resources needed to address the Chapter 11 Cases and the resulting diversion of the attention of the Company’s limited management and other personnel responsible for preparation of the Form 10-Q, the Company is unable to file the Form 10-Q within the prescribed time period.</w:t>
      </w:r>
    </w:p>
    <w:p>
      <w:pPr>
        <w:spacing w:after="0" w:line="2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believes that Form 10-Q will be filed within the extension period provided under Rule 12b-25 of the Securities Exchange Act of 1934, as amended, but can provide no assurance that it will be able to file by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 — OTHER INFORMATION</w:t>
      </w:r>
    </w:p>
    <w:p>
      <w:pPr>
        <w:spacing w:after="0" w:line="200" w:lineRule="exact"/>
        <w:rPr>
          <w:sz w:val="20"/>
          <w:szCs w:val="20"/>
          <w:color w:val="auto"/>
        </w:rPr>
      </w:pPr>
    </w:p>
    <w:p>
      <w:pPr>
        <w:spacing w:after="0" w:line="286" w:lineRule="exact"/>
        <w:rPr>
          <w:sz w:val="20"/>
          <w:szCs w:val="20"/>
          <w:color w:val="auto"/>
        </w:rPr>
      </w:pPr>
    </w:p>
    <w:p>
      <w:pPr>
        <w:ind w:left="560" w:hanging="539"/>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5"/>
              </w:rPr>
              <w:t>Daniel L. Olivier</w:t>
            </w:r>
          </w:p>
        </w:tc>
        <w:tc>
          <w:tcPr>
            <w:tcW w:w="2620" w:type="dxa"/>
            <w:vAlign w:val="bottom"/>
            <w:gridSpan w:val="2"/>
          </w:tcPr>
          <w:p>
            <w:pPr>
              <w:jc w:val="right"/>
              <w:ind w:right="768"/>
              <w:spacing w:after="0"/>
              <w:rPr>
                <w:sz w:val="20"/>
                <w:szCs w:val="20"/>
                <w:color w:val="auto"/>
              </w:rPr>
            </w:pPr>
            <w:r>
              <w:rPr>
                <w:rFonts w:ascii="Arial" w:cs="Arial" w:eastAsia="Arial" w:hAnsi="Arial"/>
                <w:sz w:val="18"/>
                <w:szCs w:val="18"/>
                <w:b w:val="1"/>
                <w:bCs w:val="1"/>
                <w:color w:val="auto"/>
              </w:rPr>
              <w:t>(616)</w:t>
            </w:r>
          </w:p>
        </w:tc>
        <w:tc>
          <w:tcPr>
            <w:tcW w:w="4020" w:type="dxa"/>
            <w:vAlign w:val="bottom"/>
            <w:gridSpan w:val="2"/>
          </w:tcPr>
          <w:p>
            <w:pPr>
              <w:jc w:val="right"/>
              <w:ind w:right="1328"/>
              <w:spacing w:after="0"/>
              <w:rPr>
                <w:sz w:val="20"/>
                <w:szCs w:val="20"/>
                <w:color w:val="auto"/>
              </w:rPr>
            </w:pPr>
            <w:r>
              <w:rPr>
                <w:rFonts w:ascii="Arial" w:cs="Arial" w:eastAsia="Arial" w:hAnsi="Arial"/>
                <w:sz w:val="18"/>
                <w:szCs w:val="18"/>
                <w:b w:val="1"/>
                <w:bCs w:val="1"/>
                <w:color w:val="auto"/>
              </w:rPr>
              <w:t>395-5094</w:t>
            </w:r>
          </w:p>
        </w:tc>
      </w:tr>
      <w:tr>
        <w:trPr>
          <w:trHeight w:val="186"/>
        </w:trPr>
        <w:tc>
          <w:tcPr>
            <w:tcW w:w="3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(Name)</w:t>
            </w:r>
          </w:p>
        </w:tc>
        <w:tc>
          <w:tcPr>
            <w:tcW w:w="540" w:type="dxa"/>
            <w:vAlign w:val="bottom"/>
          </w:tcPr>
          <w:p>
            <w:pPr>
              <w:spacing w:after="0"/>
              <w:rPr>
                <w:sz w:val="16"/>
                <w:szCs w:val="16"/>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(Area Code)</w:t>
            </w:r>
          </w:p>
        </w:tc>
        <w:tc>
          <w:tcPr>
            <w:tcW w:w="540" w:type="dxa"/>
            <w:vAlign w:val="bottom"/>
          </w:tcPr>
          <w:p>
            <w:pPr>
              <w:spacing w:after="0"/>
              <w:rPr>
                <w:sz w:val="16"/>
                <w:szCs w:val="16"/>
                <w:color w:val="auto"/>
              </w:rPr>
            </w:pPr>
          </w:p>
        </w:tc>
        <w:tc>
          <w:tcPr>
            <w:tcW w:w="34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(Telephone Number)</w:t>
            </w:r>
          </w:p>
        </w:tc>
      </w:tr>
    </w:tbl>
    <w:p>
      <w:pPr>
        <w:spacing w:after="0" w:line="231" w:lineRule="exact"/>
        <w:rPr>
          <w:sz w:val="20"/>
          <w:szCs w:val="20"/>
          <w:color w:val="auto"/>
        </w:rPr>
      </w:pPr>
    </w:p>
    <w:p>
      <w:pPr>
        <w:ind w:left="560" w:right="40" w:hanging="539"/>
        <w:spacing w:after="0" w:line="287" w:lineRule="auto"/>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w:t>
      </w:r>
    </w:p>
    <w:p>
      <w:pPr>
        <w:spacing w:after="0" w:line="1" w:lineRule="exact"/>
        <w:rPr>
          <w:sz w:val="20"/>
          <w:szCs w:val="20"/>
          <w:color w:val="auto"/>
        </w:rPr>
      </w:pPr>
    </w:p>
    <w:p>
      <w:pPr>
        <w:ind w:left="560"/>
        <w:spacing w:after="0" w:line="207" w:lineRule="exact"/>
        <w:tabs>
          <w:tab w:leader="none" w:pos="2260" w:val="left"/>
        </w:tabs>
        <w:rPr>
          <w:sz w:val="20"/>
          <w:szCs w:val="20"/>
          <w:color w:val="auto"/>
        </w:rPr>
      </w:pPr>
      <w:r>
        <w:rPr>
          <w:rFonts w:ascii="Arial" w:cs="Arial" w:eastAsia="Arial" w:hAnsi="Arial"/>
          <w:sz w:val="18"/>
          <w:szCs w:val="18"/>
          <w:color w:val="auto"/>
        </w:rPr>
        <w:t>no, identify report(s).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70" w:lineRule="exact"/>
        <w:rPr>
          <w:sz w:val="20"/>
          <w:szCs w:val="20"/>
          <w:color w:val="auto"/>
        </w:rPr>
      </w:pPr>
    </w:p>
    <w:p>
      <w:pPr>
        <w:ind w:left="560" w:hanging="539"/>
        <w:spacing w:after="0"/>
        <w:tabs>
          <w:tab w:leader="none" w:pos="5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Is it anticipated that any significant change in results of operations from the corresponding period for the last fiscal year will be reflected by the</w:t>
      </w:r>
    </w:p>
    <w:p>
      <w:pPr>
        <w:spacing w:after="0" w:line="30" w:lineRule="exact"/>
        <w:rPr>
          <w:sz w:val="20"/>
          <w:szCs w:val="20"/>
          <w:color w:val="auto"/>
        </w:rPr>
      </w:pPr>
    </w:p>
    <w:p>
      <w:pPr>
        <w:ind w:left="560"/>
        <w:spacing w:after="0" w:line="207" w:lineRule="exact"/>
        <w:tabs>
          <w:tab w:leader="none" w:pos="6060" w:val="left"/>
        </w:tabs>
        <w:rPr>
          <w:sz w:val="20"/>
          <w:szCs w:val="20"/>
          <w:color w:val="auto"/>
        </w:rPr>
      </w:pPr>
      <w:r>
        <w:rPr>
          <w:rFonts w:ascii="Arial" w:cs="Arial" w:eastAsia="Arial" w:hAnsi="Arial"/>
          <w:sz w:val="18"/>
          <w:szCs w:val="18"/>
          <w:color w:val="auto"/>
        </w:rPr>
        <w:t>earnings statements to be included in the subject report or portion thereof?</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29" w:lineRule="exact"/>
        <w:rPr>
          <w:sz w:val="20"/>
          <w:szCs w:val="20"/>
          <w:color w:val="auto"/>
        </w:rPr>
      </w:pPr>
    </w:p>
    <w:p>
      <w:pPr>
        <w:ind w:left="520" w:right="40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Yellow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(Name of Registrant as Specified in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66" w:lineRule="exact"/>
        <w:rPr>
          <w:sz w:val="20"/>
          <w:szCs w:val="20"/>
          <w:color w:val="auto"/>
        </w:rPr>
      </w:pPr>
    </w:p>
    <w:p>
      <w:pPr>
        <w:ind w:left="20"/>
        <w:spacing w:after="0"/>
        <w:tabs>
          <w:tab w:leader="none" w:pos="700" w:val="left"/>
          <w:tab w:leader="none" w:pos="5760" w:val="left"/>
          <w:tab w:leader="none" w:pos="6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Daniel L. Olivier</w:t>
      </w:r>
    </w:p>
    <w:p>
      <w:pPr>
        <w:spacing w:after="0" w:line="3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Daniel L. Olivier</w:t>
      </w:r>
    </w:p>
    <w:p>
      <w:pPr>
        <w:spacing w:after="0" w:line="3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Chief Financial Officer</w:t>
      </w:r>
    </w:p>
    <w:p>
      <w:pPr>
        <w:spacing w:after="0" w:line="23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136130" cy="347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347345"/>
                    </a:xfrm>
                    <a:prstGeom prst="rect">
                      <a:avLst/>
                    </a:prstGeom>
                    <a:noFill/>
                  </pic:spPr>
                </pic:pic>
              </a:graphicData>
            </a:graphic>
          </wp:anchor>
        </w:drawing>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00"/>
      </w:cols>
      <w:pgMar w:left="320" w:top="34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lowerLetter"/>
      <w:start w:val="1"/>
    </w:lvl>
  </w:abstractNum>
  <w:abstractNum w:abstractNumId="2">
    <w:nsid w:val="238E1F29"/>
    <w:multiLevelType w:val="hybridMultilevel"/>
    <w:lvl w:ilvl="0">
      <w:lvlJc w:val="left"/>
      <w:lvlText w:val="☒"/>
      <w:numFmt w:val="bullet"/>
      <w:start w:val="1"/>
    </w:lvl>
    <w:lvl w:ilvl="1">
      <w:lvlJc w:val="left"/>
      <w:lvlText w:val="(%2)"/>
      <w:numFmt w:val="lowerLetter"/>
      <w:start w:val="3"/>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2023-08-10T08:14:37Z</dcterms:created>
  <dcterms:modified xsi:type="dcterms:W3CDTF">2023-08-10T08:14:37Z</dcterms:modified>
</cp:coreProperties>
</file>